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F2" w:rsidRDefault="008843F2" w:rsidP="008843F2">
      <w:pPr>
        <w:pStyle w:val="default"/>
        <w:spacing w:after="0"/>
        <w:jc w:val="center"/>
        <w:rPr>
          <w:rFonts w:ascii="Segoe UI" w:hAnsi="Segoe UI" w:cs="Segoe UI"/>
          <w:b/>
          <w:bCs/>
          <w:color w:val="0000FF"/>
          <w:sz w:val="28"/>
          <w:szCs w:val="22"/>
        </w:rPr>
      </w:pPr>
      <w:r>
        <w:rPr>
          <w:rFonts w:ascii="Segoe UI" w:hAnsi="Segoe UI" w:cs="Segoe UI"/>
          <w:b/>
          <w:bCs/>
          <w:color w:val="0000FF"/>
          <w:sz w:val="28"/>
          <w:szCs w:val="22"/>
        </w:rPr>
        <w:t>CONCEPTO N° 065774</w:t>
      </w:r>
    </w:p>
    <w:p w:rsidR="008843F2" w:rsidRDefault="008843F2" w:rsidP="008843F2">
      <w:pPr>
        <w:pStyle w:val="default"/>
        <w:spacing w:after="0"/>
        <w:jc w:val="center"/>
        <w:rPr>
          <w:rFonts w:ascii="Segoe UI" w:hAnsi="Segoe UI" w:cs="Segoe UI"/>
          <w:b/>
          <w:color w:val="0000FF"/>
          <w:sz w:val="28"/>
          <w:szCs w:val="22"/>
        </w:rPr>
      </w:pPr>
      <w:r>
        <w:rPr>
          <w:rFonts w:ascii="Segoe UI" w:hAnsi="Segoe UI" w:cs="Segoe UI"/>
          <w:b/>
          <w:bCs/>
          <w:color w:val="0000FF"/>
          <w:sz w:val="28"/>
          <w:szCs w:val="22"/>
        </w:rPr>
        <w:t>16-10-2013</w:t>
      </w:r>
    </w:p>
    <w:p w:rsidR="008843F2" w:rsidRDefault="008843F2" w:rsidP="008843F2">
      <w:pPr>
        <w:pStyle w:val="default"/>
        <w:spacing w:after="0"/>
        <w:jc w:val="center"/>
        <w:rPr>
          <w:rFonts w:ascii="Segoe UI" w:hAnsi="Segoe UI" w:cs="Segoe UI"/>
          <w:b/>
          <w:color w:val="0000FF"/>
          <w:sz w:val="28"/>
          <w:szCs w:val="22"/>
        </w:rPr>
      </w:pPr>
      <w:r>
        <w:rPr>
          <w:rFonts w:ascii="Segoe UI" w:hAnsi="Segoe UI" w:cs="Segoe UI"/>
          <w:b/>
          <w:bCs/>
          <w:color w:val="0000FF"/>
          <w:sz w:val="28"/>
          <w:szCs w:val="22"/>
        </w:rPr>
        <w:t>DIAN</w:t>
      </w:r>
    </w:p>
    <w:p w:rsidR="008843F2" w:rsidRDefault="008843F2" w:rsidP="008843F2">
      <w:pPr>
        <w:pStyle w:val="default"/>
        <w:spacing w:after="0"/>
        <w:jc w:val="both"/>
        <w:rPr>
          <w:rFonts w:ascii="Segoe UI" w:hAnsi="Segoe UI" w:cs="Segoe UI"/>
          <w:b/>
          <w:color w:val="0000FF"/>
          <w:sz w:val="22"/>
          <w:szCs w:val="22"/>
        </w:rPr>
      </w:pPr>
    </w:p>
    <w:p w:rsidR="008843F2" w:rsidRDefault="008843F2" w:rsidP="008843F2">
      <w:pPr>
        <w:pStyle w:val="default"/>
        <w:spacing w:after="0"/>
        <w:jc w:val="both"/>
        <w:rPr>
          <w:rFonts w:ascii="Segoe UI" w:hAnsi="Segoe UI" w:cs="Segoe UI"/>
          <w:b/>
          <w:color w:val="0000FF"/>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Bogotá</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Doctor</w:t>
      </w:r>
    </w:p>
    <w:p w:rsidR="008843F2" w:rsidRDefault="008843F2" w:rsidP="008843F2">
      <w:pPr>
        <w:pStyle w:val="default"/>
        <w:spacing w:after="0"/>
        <w:jc w:val="both"/>
        <w:rPr>
          <w:rFonts w:ascii="Segoe UI" w:hAnsi="Segoe UI" w:cs="Segoe UI"/>
          <w:sz w:val="22"/>
          <w:szCs w:val="22"/>
        </w:rPr>
      </w:pPr>
      <w:r>
        <w:rPr>
          <w:rFonts w:ascii="Segoe UI" w:hAnsi="Segoe UI" w:cs="Segoe UI"/>
          <w:b/>
          <w:bCs/>
          <w:sz w:val="22"/>
          <w:szCs w:val="22"/>
        </w:rPr>
        <w:t>JORGE AUGUSTO MERINO DUQUE</w:t>
      </w: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Director Financiero</w:t>
      </w: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Unidad Administrativa Especial de Aeronáutica Civil</w:t>
      </w: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Edificio NEA - Avenida El Dorado 103-15</w:t>
      </w: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Bogotá D.C.</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b/>
          <w:sz w:val="22"/>
          <w:szCs w:val="22"/>
        </w:rPr>
        <w:t>Ref.:</w:t>
      </w:r>
      <w:r>
        <w:rPr>
          <w:rFonts w:ascii="Segoe UI" w:hAnsi="Segoe UI" w:cs="Segoe UI"/>
          <w:sz w:val="22"/>
          <w:szCs w:val="22"/>
        </w:rPr>
        <w:t xml:space="preserve"> Radicado 21590 del 04/04/2013</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b/>
          <w:sz w:val="22"/>
          <w:szCs w:val="22"/>
        </w:rPr>
        <w:t>Tema</w:t>
      </w:r>
      <w:r>
        <w:rPr>
          <w:rFonts w:ascii="Segoe UI" w:hAnsi="Segoe UI" w:cs="Segoe UI"/>
          <w:sz w:val="22"/>
          <w:szCs w:val="22"/>
        </w:rPr>
        <w:t xml:space="preserve"> Procedimiento Tributario</w:t>
      </w:r>
    </w:p>
    <w:p w:rsidR="008843F2" w:rsidRDefault="008843F2" w:rsidP="008843F2">
      <w:pPr>
        <w:pStyle w:val="default"/>
        <w:spacing w:after="0"/>
        <w:jc w:val="both"/>
        <w:rPr>
          <w:rFonts w:ascii="Segoe UI" w:hAnsi="Segoe UI" w:cs="Segoe UI"/>
          <w:sz w:val="22"/>
          <w:szCs w:val="22"/>
        </w:rPr>
      </w:pPr>
      <w:r>
        <w:rPr>
          <w:rFonts w:ascii="Segoe UI" w:hAnsi="Segoe UI" w:cs="Segoe UI"/>
          <w:b/>
          <w:sz w:val="22"/>
          <w:szCs w:val="22"/>
        </w:rPr>
        <w:t>Descriptores</w:t>
      </w:r>
      <w:r>
        <w:rPr>
          <w:rFonts w:ascii="Segoe UI" w:hAnsi="Segoe UI" w:cs="Segoe UI"/>
          <w:sz w:val="22"/>
          <w:szCs w:val="22"/>
        </w:rPr>
        <w:t xml:space="preserve"> DECLARACIÓN Y PAGO DEL IMPUESTO SOBRE LAS VENTAS RETENIDO</w:t>
      </w:r>
    </w:p>
    <w:p w:rsidR="008843F2" w:rsidRDefault="008843F2" w:rsidP="008843F2">
      <w:pPr>
        <w:pStyle w:val="default"/>
        <w:spacing w:after="0"/>
        <w:jc w:val="both"/>
        <w:rPr>
          <w:rFonts w:ascii="Segoe UI" w:hAnsi="Segoe UI" w:cs="Segoe UI"/>
          <w:sz w:val="22"/>
          <w:szCs w:val="22"/>
        </w:rPr>
      </w:pPr>
      <w:r>
        <w:rPr>
          <w:rFonts w:ascii="Segoe UI" w:hAnsi="Segoe UI" w:cs="Segoe UI"/>
          <w:b/>
          <w:sz w:val="22"/>
          <w:szCs w:val="22"/>
        </w:rPr>
        <w:t>Fuentes formales</w:t>
      </w:r>
      <w:r>
        <w:rPr>
          <w:rFonts w:ascii="Segoe UI" w:hAnsi="Segoe UI" w:cs="Segoe UI"/>
          <w:sz w:val="22"/>
          <w:szCs w:val="22"/>
        </w:rPr>
        <w:t xml:space="preserve"> Estatuto Tributario, artículos </w:t>
      </w:r>
      <w:hyperlink r:id="rId5" w:tooltip="Estatuto Tributario CETA" w:history="1">
        <w:r>
          <w:rPr>
            <w:rStyle w:val="Hipervnculo"/>
            <w:rFonts w:ascii="Segoe UI" w:hAnsi="Segoe UI" w:cs="Segoe UI"/>
            <w:sz w:val="22"/>
            <w:szCs w:val="22"/>
          </w:rPr>
          <w:t>102</w:t>
        </w:r>
      </w:hyperlink>
      <w:r>
        <w:rPr>
          <w:rFonts w:ascii="Segoe UI" w:hAnsi="Segoe UI" w:cs="Segoe UI"/>
          <w:sz w:val="22"/>
          <w:szCs w:val="22"/>
        </w:rPr>
        <w:t xml:space="preserve">, numeral 5, </w:t>
      </w:r>
      <w:hyperlink r:id="rId6" w:tooltip="Estatuto Tributario CETA" w:history="1">
        <w:r>
          <w:rPr>
            <w:rStyle w:val="Hipervnculo"/>
            <w:rFonts w:ascii="Segoe UI" w:hAnsi="Segoe UI" w:cs="Segoe UI"/>
            <w:sz w:val="22"/>
            <w:szCs w:val="22"/>
          </w:rPr>
          <w:t>437</w:t>
        </w:r>
      </w:hyperlink>
      <w:r>
        <w:rPr>
          <w:rFonts w:ascii="Segoe UI" w:hAnsi="Segoe UI" w:cs="Segoe UI"/>
          <w:sz w:val="22"/>
          <w:szCs w:val="22"/>
        </w:rPr>
        <w:t xml:space="preserve"> y </w:t>
      </w:r>
      <w:hyperlink r:id="rId7" w:tooltip="Estatuto Tributario CETA" w:history="1">
        <w:r>
          <w:rPr>
            <w:rStyle w:val="Hipervnculo"/>
            <w:rFonts w:ascii="Segoe UI" w:hAnsi="Segoe UI" w:cs="Segoe UI"/>
            <w:sz w:val="22"/>
            <w:szCs w:val="22"/>
          </w:rPr>
          <w:t>447</w:t>
        </w:r>
      </w:hyperlink>
      <w:r>
        <w:rPr>
          <w:rFonts w:ascii="Segoe UI" w:hAnsi="Segoe UI" w:cs="Segoe UI"/>
          <w:sz w:val="22"/>
          <w:szCs w:val="22"/>
        </w:rPr>
        <w:t>; Ley 1607 de 2012, artículo 127 y Decreto 1372 de 1992, artículo 8.</w:t>
      </w:r>
    </w:p>
    <w:p w:rsidR="008843F2" w:rsidRDefault="008843F2" w:rsidP="008843F2">
      <w:pPr>
        <w:pStyle w:val="default"/>
        <w:spacing w:after="0"/>
        <w:jc w:val="both"/>
        <w:rPr>
          <w:rFonts w:ascii="Segoe UI" w:hAnsi="Segoe UI" w:cs="Segoe UI"/>
          <w:b/>
          <w:bCs/>
          <w:sz w:val="22"/>
          <w:szCs w:val="22"/>
        </w:rPr>
      </w:pPr>
    </w:p>
    <w:p w:rsidR="008843F2" w:rsidRDefault="008843F2" w:rsidP="008843F2">
      <w:pPr>
        <w:pStyle w:val="default"/>
        <w:spacing w:after="0"/>
        <w:jc w:val="both"/>
        <w:rPr>
          <w:rFonts w:ascii="Segoe UI" w:hAnsi="Segoe UI" w:cs="Segoe UI"/>
          <w:b/>
          <w:bCs/>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b/>
          <w:bCs/>
          <w:sz w:val="22"/>
          <w:szCs w:val="22"/>
        </w:rPr>
        <w:t>PROBLEMA JURÍDICO</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¿Quién es el responsable del IVA generado por la prestación de servicios de arrendamiento de locales comerciales cuyos ingresos derivados del respectivo arrendamiento se transfieren a un patrimonio autónomo administrado por una sociedad fiduciaria?</w:t>
      </w:r>
    </w:p>
    <w:p w:rsidR="008843F2" w:rsidRDefault="008843F2" w:rsidP="008843F2">
      <w:pPr>
        <w:pStyle w:val="default"/>
        <w:spacing w:after="0"/>
        <w:jc w:val="both"/>
        <w:rPr>
          <w:rFonts w:ascii="Segoe UI" w:hAnsi="Segoe UI" w:cs="Segoe UI"/>
          <w:b/>
          <w:bCs/>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b/>
          <w:bCs/>
          <w:sz w:val="22"/>
          <w:szCs w:val="22"/>
        </w:rPr>
        <w:t>TESIS JURÍDICA</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El responsable del IVA generado por la prestación de servicios de arrendamiento de locales comerciales cuyos ingresos derivados del respectivo arrendamiento se transfieren a un patrimonio autónomo administrado por una sociedad fiduciaria, es la sociedad fiduciaria.</w:t>
      </w:r>
    </w:p>
    <w:p w:rsidR="008843F2" w:rsidRDefault="008843F2" w:rsidP="008843F2">
      <w:pPr>
        <w:pStyle w:val="default"/>
        <w:spacing w:after="0"/>
        <w:jc w:val="both"/>
        <w:rPr>
          <w:rFonts w:ascii="Segoe UI" w:hAnsi="Segoe UI" w:cs="Segoe UI"/>
          <w:b/>
          <w:bCs/>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b/>
          <w:bCs/>
          <w:sz w:val="22"/>
          <w:szCs w:val="22"/>
        </w:rPr>
        <w:t>INTERPRETACIÓN JURÍDICA</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 xml:space="preserve">De conformidad con lo dispuesto en el literal c) del </w:t>
      </w:r>
      <w:hyperlink r:id="rId8" w:tooltip="Estatuto Tributario CETA" w:history="1">
        <w:r>
          <w:rPr>
            <w:rStyle w:val="Hipervnculo"/>
            <w:rFonts w:ascii="Segoe UI" w:hAnsi="Segoe UI" w:cs="Segoe UI"/>
            <w:sz w:val="22"/>
            <w:szCs w:val="22"/>
          </w:rPr>
          <w:t>artículo 437</w:t>
        </w:r>
      </w:hyperlink>
      <w:r>
        <w:rPr>
          <w:rFonts w:ascii="Segoe UI" w:hAnsi="Segoe UI" w:cs="Segoe UI"/>
          <w:sz w:val="22"/>
          <w:szCs w:val="22"/>
        </w:rPr>
        <w:t xml:space="preserve"> del Estatuto Tributario, son responsables del impuesto sobre las ventas quienes presten servicios.</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 xml:space="preserve">Según lo preceptuado por el literal b) del </w:t>
      </w:r>
      <w:hyperlink r:id="rId9" w:tooltip="Estatuto Tributario CETA" w:history="1">
        <w:r>
          <w:rPr>
            <w:rStyle w:val="Hipervnculo"/>
            <w:rFonts w:ascii="Segoe UI" w:hAnsi="Segoe UI" w:cs="Segoe UI"/>
            <w:sz w:val="22"/>
            <w:szCs w:val="22"/>
          </w:rPr>
          <w:t>artículo 420</w:t>
        </w:r>
      </w:hyperlink>
      <w:r>
        <w:rPr>
          <w:rFonts w:ascii="Segoe UI" w:hAnsi="Segoe UI" w:cs="Segoe UI"/>
          <w:sz w:val="22"/>
          <w:szCs w:val="22"/>
        </w:rPr>
        <w:t xml:space="preserve"> del Estatuto Tributario, se encuentran gravados con el impuesto sobre las ventas los servicios que se presten en todo el territorio nacional, regla general que solo admite las excepciones que de manera taxativa consagre el legislador, dentro de las cuales no se encuentra el contrato de arrendamiento de locales comerciales, razón por la que este constituye uno de los hechos generadores del impuesto sobre las ventas.</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 xml:space="preserve">Tratándose de ingresos derivados de servicios de arrendamiento transferidos a un patrimonio autónomo administrado por una sociedad fiduciaria, resulta pertinente remitirnos a lo dispuesto en el </w:t>
      </w:r>
      <w:hyperlink r:id="rId10" w:tooltip="Estatuto Tributario CETA" w:history="1">
        <w:r>
          <w:rPr>
            <w:rStyle w:val="Hipervnculo"/>
            <w:rFonts w:ascii="Segoe UI" w:hAnsi="Segoe UI" w:cs="Segoe UI"/>
            <w:sz w:val="22"/>
            <w:szCs w:val="22"/>
          </w:rPr>
          <w:t>artículo 102</w:t>
        </w:r>
      </w:hyperlink>
      <w:r>
        <w:rPr>
          <w:rFonts w:ascii="Segoe UI" w:hAnsi="Segoe UI" w:cs="Segoe UI"/>
          <w:sz w:val="22"/>
          <w:szCs w:val="22"/>
        </w:rPr>
        <w:t xml:space="preserve"> del Estatuto Tributario, norma que regula los contratos de fiducia mercantil y que fue modificada por el artículo 127 de la Ley 1607 de 2012 en los siguientes términos:</w:t>
      </w:r>
    </w:p>
    <w:p w:rsidR="008843F2" w:rsidRDefault="008843F2" w:rsidP="008843F2">
      <w:pPr>
        <w:pStyle w:val="default"/>
        <w:spacing w:after="0"/>
        <w:ind w:left="284"/>
        <w:jc w:val="both"/>
        <w:rPr>
          <w:rFonts w:ascii="Segoe UI" w:hAnsi="Segoe UI" w:cs="Segoe UI"/>
          <w:i/>
          <w:iCs/>
          <w:sz w:val="22"/>
          <w:szCs w:val="22"/>
        </w:rPr>
      </w:pPr>
    </w:p>
    <w:p w:rsidR="008843F2" w:rsidRDefault="008843F2" w:rsidP="008843F2">
      <w:pPr>
        <w:pStyle w:val="default"/>
        <w:spacing w:after="0"/>
        <w:ind w:left="284"/>
        <w:jc w:val="both"/>
        <w:rPr>
          <w:rFonts w:ascii="Segoe UI" w:hAnsi="Segoe UI" w:cs="Segoe UI"/>
          <w:sz w:val="22"/>
          <w:szCs w:val="22"/>
        </w:rPr>
      </w:pPr>
      <w:r>
        <w:rPr>
          <w:rFonts w:ascii="Segoe UI" w:hAnsi="Segoe UI" w:cs="Segoe UI"/>
          <w:i/>
          <w:iCs/>
          <w:sz w:val="22"/>
          <w:szCs w:val="22"/>
        </w:rPr>
        <w:t xml:space="preserve">"ARTÍCULO 127. Modifíquense los numerales 1 y 2 y los incisos 1o y 2o del numeral 5 del </w:t>
      </w:r>
      <w:hyperlink r:id="rId11" w:tooltip="Estatuto Tributario CETA" w:history="1">
        <w:r>
          <w:rPr>
            <w:rStyle w:val="Hipervnculo"/>
            <w:rFonts w:ascii="Segoe UI" w:hAnsi="Segoe UI" w:cs="Segoe UI"/>
            <w:i/>
            <w:iCs/>
            <w:sz w:val="22"/>
            <w:szCs w:val="22"/>
          </w:rPr>
          <w:t>artículo 102</w:t>
        </w:r>
      </w:hyperlink>
      <w:r>
        <w:rPr>
          <w:rFonts w:ascii="Segoe UI" w:hAnsi="Segoe UI" w:cs="Segoe UI"/>
          <w:i/>
          <w:iCs/>
          <w:sz w:val="22"/>
          <w:szCs w:val="22"/>
        </w:rPr>
        <w:t xml:space="preserve"> del Estatuto Tributario y adiciónese el numeral 8, los cuales quedarán así:</w:t>
      </w:r>
    </w:p>
    <w:p w:rsidR="008843F2" w:rsidRDefault="008843F2" w:rsidP="008843F2">
      <w:pPr>
        <w:pStyle w:val="default"/>
        <w:spacing w:after="0"/>
        <w:ind w:left="284"/>
        <w:jc w:val="both"/>
        <w:rPr>
          <w:rFonts w:ascii="Segoe UI" w:hAnsi="Segoe UI" w:cs="Segoe UI"/>
          <w:i/>
          <w:iCs/>
          <w:sz w:val="22"/>
          <w:szCs w:val="22"/>
        </w:rPr>
      </w:pPr>
    </w:p>
    <w:p w:rsidR="008843F2" w:rsidRDefault="008843F2" w:rsidP="008843F2">
      <w:pPr>
        <w:pStyle w:val="default"/>
        <w:spacing w:after="0"/>
        <w:ind w:left="284"/>
        <w:jc w:val="both"/>
        <w:rPr>
          <w:rFonts w:ascii="Segoe UI" w:hAnsi="Segoe UI" w:cs="Segoe UI"/>
          <w:i/>
          <w:iCs/>
          <w:sz w:val="22"/>
          <w:szCs w:val="22"/>
        </w:rPr>
      </w:pPr>
      <w:r>
        <w:rPr>
          <w:rFonts w:ascii="Segoe UI" w:hAnsi="Segoe UI" w:cs="Segoe UI"/>
          <w:i/>
          <w:iCs/>
          <w:sz w:val="22"/>
          <w:szCs w:val="22"/>
        </w:rPr>
        <w:t xml:space="preserve">... 5. </w:t>
      </w:r>
      <w:r>
        <w:rPr>
          <w:rFonts w:ascii="Segoe UI" w:hAnsi="Segoe UI" w:cs="Segoe UI"/>
          <w:i/>
          <w:iCs/>
          <w:sz w:val="22"/>
          <w:szCs w:val="22"/>
          <w:u w:val="single"/>
        </w:rPr>
        <w:t>Las sociedades fiduciarias deben cumplir con los deberes formales de los patrimonios autónomos que administren</w:t>
      </w:r>
      <w:r>
        <w:rPr>
          <w:rFonts w:ascii="Segoe UI" w:hAnsi="Segoe UI" w:cs="Segoe UI"/>
          <w:i/>
          <w:iCs/>
          <w:sz w:val="22"/>
          <w:szCs w:val="22"/>
        </w:rPr>
        <w:t>. Para tal fin, se le asignará a las sociedades fiduciarias, aparte del NIT propio, un NIT que identifique en forma global a todos los fideicomisos que administren. El Gobierno Nacional determinará adicionalmente en qué casos los patrimonios autónomos administrados deberán contar con un NIT individual, que se les asignará en consecuencia.</w:t>
      </w:r>
    </w:p>
    <w:p w:rsidR="008843F2" w:rsidRDefault="008843F2" w:rsidP="008843F2">
      <w:pPr>
        <w:pStyle w:val="default"/>
        <w:spacing w:after="0"/>
        <w:ind w:left="284"/>
        <w:jc w:val="both"/>
        <w:rPr>
          <w:rFonts w:ascii="Segoe UI" w:hAnsi="Segoe UI" w:cs="Segoe UI"/>
          <w:i/>
          <w:iCs/>
          <w:sz w:val="22"/>
          <w:szCs w:val="22"/>
        </w:rPr>
      </w:pPr>
    </w:p>
    <w:p w:rsidR="008843F2" w:rsidRDefault="008843F2" w:rsidP="008843F2">
      <w:pPr>
        <w:pStyle w:val="default"/>
        <w:spacing w:after="0"/>
        <w:ind w:left="284"/>
        <w:jc w:val="both"/>
        <w:rPr>
          <w:rFonts w:ascii="Segoe UI" w:hAnsi="Segoe UI" w:cs="Segoe UI"/>
          <w:sz w:val="22"/>
          <w:szCs w:val="22"/>
        </w:rPr>
      </w:pPr>
      <w:r>
        <w:rPr>
          <w:rFonts w:ascii="Segoe UI" w:hAnsi="Segoe UI" w:cs="Segoe UI"/>
          <w:i/>
          <w:iCs/>
          <w:sz w:val="22"/>
          <w:szCs w:val="22"/>
        </w:rPr>
        <w:t xml:space="preserve">Las sociedades fiduciarias presentarán una sola declaración por los patrimonios autónomos que administren y que no cuenten con un NIT individual. En estos casos la sociedad fiduciaria tendrá una desagregación de los factores de la declaración atribuible a cada patrimonio autónomo </w:t>
      </w:r>
      <w:r>
        <w:rPr>
          <w:rFonts w:ascii="Segoe UI" w:hAnsi="Segoe UI" w:cs="Segoe UI"/>
          <w:i/>
          <w:sz w:val="22"/>
          <w:szCs w:val="22"/>
        </w:rPr>
        <w:t xml:space="preserve">a </w:t>
      </w:r>
      <w:r>
        <w:rPr>
          <w:rFonts w:ascii="Segoe UI" w:hAnsi="Segoe UI" w:cs="Segoe UI"/>
          <w:i/>
          <w:iCs/>
          <w:sz w:val="22"/>
          <w:szCs w:val="22"/>
        </w:rPr>
        <w:t>disposición de la Dirección de Impuestos y Aduanas Nacionales para cuando esta lo solicite. Cuando se decida que uno o varios patrimonios autónomos tengan un NIT independiente del global, la sociedad fiduciaria deberá presentar una declaración independiente por cada patrimonio autónomo con NIT independiente y suministrar la información que sobre los mismos le sea solicitada por la Dirección de Impuestos y Aduanas Nacionales...". (Subrayado fuera de texto).</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 xml:space="preserve">De acuerdo con la disposición previamente transcrita, cuando los ingresos derivados de contratos de arrendamiento de locales comerciales se transfieren a un patrimonio autónomo administrado por una sociedad fiduciaria, por corresponder a las sociedades fiduciarias cumplir con los deberes formales de los patrimonios autónomos que administran, será la sociedad fiduciaria la responsable de declarar y pagar el impuesto sobre las ventas generado por el servicio de arrendamiento e igualmente será responsable por las sanciones derivadas del incumplimiento de las obligaciones formales a cargo del patrimonio autónomo de conformidad con lo preceptuado por el </w:t>
      </w:r>
      <w:hyperlink r:id="rId12" w:tooltip="Estatuto Tributario CETA" w:history="1">
        <w:r>
          <w:rPr>
            <w:rStyle w:val="Hipervnculo"/>
            <w:rFonts w:ascii="Segoe UI" w:hAnsi="Segoe UI" w:cs="Segoe UI"/>
            <w:sz w:val="22"/>
            <w:szCs w:val="22"/>
          </w:rPr>
          <w:t>artículo 102</w:t>
        </w:r>
      </w:hyperlink>
      <w:r>
        <w:rPr>
          <w:rFonts w:ascii="Segoe UI" w:hAnsi="Segoe UI" w:cs="Segoe UI"/>
          <w:sz w:val="22"/>
          <w:szCs w:val="22"/>
        </w:rPr>
        <w:t xml:space="preserve"> del Estatuto Tributario.</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 xml:space="preserve">Finalmente, en lo relativo a la base gravable del servicio de arrendamiento, nos permitimos manifestar, que siguiendo la regla general prevista en el </w:t>
      </w:r>
      <w:hyperlink r:id="rId13" w:tooltip="Estatuto Tributario CETA" w:history="1">
        <w:r>
          <w:rPr>
            <w:rStyle w:val="Hipervnculo"/>
            <w:rFonts w:ascii="Segoe UI" w:hAnsi="Segoe UI" w:cs="Segoe UI"/>
            <w:sz w:val="22"/>
            <w:szCs w:val="22"/>
          </w:rPr>
          <w:t>artículo 447</w:t>
        </w:r>
      </w:hyperlink>
      <w:r>
        <w:rPr>
          <w:rFonts w:ascii="Segoe UI" w:hAnsi="Segoe UI" w:cs="Segoe UI"/>
          <w:sz w:val="22"/>
          <w:szCs w:val="22"/>
        </w:rPr>
        <w:t xml:space="preserve"> del Estatuto Tributario, esta se encuentra constituida por el valor total de la operación independientemente de la forma en que sea facturado el servicio. El artículo 8o del Decreto 1372 de 1992 por medio del cual se reglamentó la Ley 6a de 1992, sobre el particular dispuso:</w:t>
      </w:r>
    </w:p>
    <w:p w:rsidR="008843F2" w:rsidRDefault="008843F2" w:rsidP="008843F2">
      <w:pPr>
        <w:pStyle w:val="default"/>
        <w:spacing w:after="0"/>
        <w:ind w:left="284"/>
        <w:jc w:val="both"/>
        <w:rPr>
          <w:rFonts w:ascii="Segoe UI" w:hAnsi="Segoe UI" w:cs="Segoe UI"/>
          <w:i/>
          <w:iCs/>
          <w:sz w:val="22"/>
          <w:szCs w:val="22"/>
        </w:rPr>
      </w:pPr>
    </w:p>
    <w:p w:rsidR="008843F2" w:rsidRDefault="008843F2" w:rsidP="008843F2">
      <w:pPr>
        <w:pStyle w:val="default"/>
        <w:spacing w:after="0"/>
        <w:ind w:left="284"/>
        <w:jc w:val="both"/>
        <w:rPr>
          <w:rFonts w:ascii="Segoe UI" w:hAnsi="Segoe UI" w:cs="Segoe UI"/>
          <w:sz w:val="22"/>
          <w:szCs w:val="22"/>
        </w:rPr>
      </w:pPr>
      <w:r>
        <w:rPr>
          <w:rFonts w:ascii="Segoe UI" w:hAnsi="Segoe UI" w:cs="Segoe UI"/>
          <w:i/>
          <w:iCs/>
          <w:sz w:val="22"/>
          <w:szCs w:val="22"/>
        </w:rPr>
        <w:t>"En los servicios gravados con el impuesto sobre las ventas que involucren la utilización de inmuebles, la base gravable estará conformada por la totalidad de los ingresos percibidos por el servicio, aun cuando se facturen en forma separada".</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bookmarkStart w:id="0" w:name="_GoBack"/>
      <w:bookmarkEnd w:id="0"/>
      <w:r>
        <w:rPr>
          <w:rFonts w:ascii="Segoe UI" w:hAnsi="Segoe UI" w:cs="Segoe UI"/>
          <w:sz w:val="22"/>
          <w:szCs w:val="22"/>
        </w:rPr>
        <w:t>Atentamente,</w:t>
      </w: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sz w:val="22"/>
          <w:szCs w:val="22"/>
        </w:rPr>
      </w:pPr>
    </w:p>
    <w:p w:rsidR="008843F2" w:rsidRDefault="008843F2" w:rsidP="008843F2">
      <w:pPr>
        <w:pStyle w:val="default"/>
        <w:spacing w:after="0"/>
        <w:jc w:val="both"/>
        <w:rPr>
          <w:rFonts w:ascii="Segoe UI" w:hAnsi="Segoe UI" w:cs="Segoe UI"/>
          <w:b/>
          <w:sz w:val="22"/>
          <w:szCs w:val="22"/>
        </w:rPr>
      </w:pPr>
      <w:r>
        <w:rPr>
          <w:rFonts w:ascii="Segoe UI" w:hAnsi="Segoe UI" w:cs="Segoe UI"/>
          <w:b/>
          <w:sz w:val="22"/>
          <w:szCs w:val="22"/>
        </w:rPr>
        <w:t>LEONOR EUGENIA RUIZ DE VILLALOBOS</w:t>
      </w:r>
    </w:p>
    <w:p w:rsidR="008843F2" w:rsidRDefault="008843F2" w:rsidP="008843F2">
      <w:pPr>
        <w:pStyle w:val="default"/>
        <w:spacing w:after="0"/>
        <w:jc w:val="both"/>
        <w:rPr>
          <w:rFonts w:ascii="Segoe UI" w:hAnsi="Segoe UI" w:cs="Segoe UI"/>
          <w:sz w:val="22"/>
          <w:szCs w:val="22"/>
        </w:rPr>
      </w:pPr>
      <w:r>
        <w:rPr>
          <w:rFonts w:ascii="Segoe UI" w:hAnsi="Segoe UI" w:cs="Segoe UI"/>
          <w:sz w:val="22"/>
          <w:szCs w:val="22"/>
        </w:rPr>
        <w:t>Subdirectora de Gestión de Normativa y Doctrina (A)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F2"/>
    <w:rsid w:val="008843F2"/>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3F2"/>
    <w:rPr>
      <w:strike w:val="0"/>
      <w:dstrike w:val="0"/>
      <w:color w:val="0089E1"/>
      <w:u w:val="none"/>
      <w:effect w:val="none"/>
    </w:rPr>
  </w:style>
  <w:style w:type="paragraph" w:customStyle="1" w:styleId="default">
    <w:name w:val="default"/>
    <w:basedOn w:val="Normal"/>
    <w:rsid w:val="008843F2"/>
    <w:pPr>
      <w:spacing w:after="285"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3F2"/>
    <w:rPr>
      <w:strike w:val="0"/>
      <w:dstrike w:val="0"/>
      <w:color w:val="0089E1"/>
      <w:u w:val="none"/>
      <w:effect w:val="none"/>
    </w:rPr>
  </w:style>
  <w:style w:type="paragraph" w:customStyle="1" w:styleId="default">
    <w:name w:val="default"/>
    <w:basedOn w:val="Normal"/>
    <w:rsid w:val="008843F2"/>
    <w:pPr>
      <w:spacing w:after="285"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8" TargetMode="External"/><Relationship Id="rId13" Type="http://schemas.openxmlformats.org/officeDocument/2006/relationships/hyperlink" Target="http://www.ceta.org.co/html/vista_de_un_articulo.asp?Norma=562" TargetMode="External"/><Relationship Id="rId3" Type="http://schemas.openxmlformats.org/officeDocument/2006/relationships/settings" Target="settings.xml"/><Relationship Id="rId7" Type="http://schemas.openxmlformats.org/officeDocument/2006/relationships/hyperlink" Target="http://www.ceta.org.co/html/vista_de_un_articulo.asp?Norma=562" TargetMode="External"/><Relationship Id="rId12" Type="http://schemas.openxmlformats.org/officeDocument/2006/relationships/hyperlink" Target="http://www.ceta.org.co/html/vista_de_un_articulo.asp?Norma=1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48" TargetMode="External"/><Relationship Id="rId11" Type="http://schemas.openxmlformats.org/officeDocument/2006/relationships/hyperlink" Target="http://www.ceta.org.co/html/vista_de_un_articulo.asp?Norma=148" TargetMode="External"/><Relationship Id="rId5" Type="http://schemas.openxmlformats.org/officeDocument/2006/relationships/hyperlink" Target="http://www.ceta.org.co/html/vista_de_un_articulo.asp?Norma=148" TargetMode="External"/><Relationship Id="rId15" Type="http://schemas.openxmlformats.org/officeDocument/2006/relationships/theme" Target="theme/theme1.xml"/><Relationship Id="rId10" Type="http://schemas.openxmlformats.org/officeDocument/2006/relationships/hyperlink" Target="http://www.ceta.org.co/html/vista_de_un_articulo.asp?Norma=14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1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2014-01-18T17:52:00Z</dcterms:created>
  <dcterms:modified xsi:type="dcterms:W3CDTF">2014-01-18T17:54:00Z</dcterms:modified>
</cp:coreProperties>
</file>